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E3C3" w14:textId="77777777" w:rsidR="006F55D8" w:rsidRDefault="006F55D8" w:rsidP="006F55D8">
      <w:r>
        <w:rPr>
          <w:noProof/>
        </w:rPr>
        <mc:AlternateContent>
          <mc:Choice Requires="wps">
            <w:drawing>
              <wp:anchor distT="0" distB="0" distL="114300" distR="114300" simplePos="0" relativeHeight="251659264" behindDoc="0" locked="0" layoutInCell="1" allowOverlap="1" wp14:anchorId="30A4996A" wp14:editId="359E4EBA">
                <wp:simplePos x="0" y="0"/>
                <wp:positionH relativeFrom="column">
                  <wp:posOffset>2615979</wp:posOffset>
                </wp:positionH>
                <wp:positionV relativeFrom="paragraph">
                  <wp:posOffset>7951</wp:posOffset>
                </wp:positionV>
                <wp:extent cx="2623931" cy="1439186"/>
                <wp:effectExtent l="0" t="0" r="5080" b="8890"/>
                <wp:wrapNone/>
                <wp:docPr id="2" name="Text Box 2"/>
                <wp:cNvGraphicFramePr/>
                <a:graphic xmlns:a="http://schemas.openxmlformats.org/drawingml/2006/main">
                  <a:graphicData uri="http://schemas.microsoft.com/office/word/2010/wordprocessingShape">
                    <wps:wsp>
                      <wps:cNvSpPr txBox="1"/>
                      <wps:spPr>
                        <a:xfrm>
                          <a:off x="0" y="0"/>
                          <a:ext cx="2623931" cy="1439186"/>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6350">
                          <a:noFill/>
                        </a:ln>
                      </wps:spPr>
                      <wps:txbx>
                        <w:txbxContent>
                          <w:p w14:paraId="38608D73" w14:textId="77777777" w:rsidR="006F55D8" w:rsidRPr="00430D0F" w:rsidRDefault="006F55D8" w:rsidP="006F55D8">
                            <w:pPr>
                              <w:jc w:val="center"/>
                              <w:rPr>
                                <w:rFonts w:ascii="Harlow Solid Italic" w:hAnsi="Harlow Solid Italic"/>
                                <w:color w:val="FF0000"/>
                                <w:sz w:val="18"/>
                                <w:szCs w:val="18"/>
                              </w:rPr>
                            </w:pPr>
                          </w:p>
                          <w:p w14:paraId="6B1F4AF2" w14:textId="77777777" w:rsidR="006F55D8" w:rsidRDefault="006F55D8" w:rsidP="006F55D8">
                            <w:pPr>
                              <w:jc w:val="center"/>
                              <w:rPr>
                                <w:rFonts w:ascii="Harlow Solid Italic" w:hAnsi="Harlow Solid Italic"/>
                                <w:color w:val="FF0000"/>
                                <w:sz w:val="44"/>
                                <w:szCs w:val="44"/>
                              </w:rPr>
                            </w:pPr>
                            <w:r w:rsidRPr="007346FD">
                              <w:rPr>
                                <w:rFonts w:ascii="Harlow Solid Italic" w:hAnsi="Harlow Solid Italic"/>
                                <w:color w:val="FF0000"/>
                                <w:sz w:val="44"/>
                                <w:szCs w:val="44"/>
                              </w:rPr>
                              <w:t xml:space="preserve">Learner-Centered </w:t>
                            </w:r>
                          </w:p>
                          <w:p w14:paraId="2A8B06DF" w14:textId="77777777" w:rsidR="006F55D8" w:rsidRDefault="006F55D8" w:rsidP="006F55D8">
                            <w:pPr>
                              <w:jc w:val="center"/>
                            </w:pPr>
                            <w:r w:rsidRPr="007346FD">
                              <w:rPr>
                                <w:rFonts w:ascii="Harlow Solid Italic" w:hAnsi="Harlow Solid Italic"/>
                                <w:color w:val="FF0000"/>
                                <w:sz w:val="44"/>
                                <w:szCs w:val="44"/>
                              </w:rPr>
                              <w:t>Teaching for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A4996A" id="_x0000_t202" coordsize="21600,21600" o:spt="202" path="m,l,21600r21600,l21600,xe">
                <v:stroke joinstyle="miter"/>
                <v:path gradientshapeok="t" o:connecttype="rect"/>
              </v:shapetype>
              <v:shape id="Text Box 2" o:spid="_x0000_s1026" type="#_x0000_t202" style="position:absolute;margin-left:206pt;margin-top:.65pt;width:206.6pt;height:11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" fillcolor="#f7fafd [184]" stroked="f" strokeweight=".5pt">
                <v:fill color2="#cde0f2 [984]" rotate="t" colors="0 #f7fafd;48497f #b5d2ec;54395f #b5d2ec;1 #cee1f2" focus="100%" type="gradient"/>
                <v:textbox>
                  <w:txbxContent>
                    <w:p w14:paraId="38608D73" w14:textId="77777777" w:rsidR="006F55D8" w:rsidRPr="00430D0F" w:rsidRDefault="006F55D8" w:rsidP="006F55D8">
                      <w:pPr>
                        <w:jc w:val="center"/>
                        <w:rPr>
                          <w:rFonts w:ascii="Harlow Solid Italic" w:hAnsi="Harlow Solid Italic"/>
                          <w:color w:val="FF0000"/>
                          <w:sz w:val="18"/>
                          <w:szCs w:val="18"/>
                        </w:rPr>
                      </w:pPr>
                    </w:p>
                    <w:p w14:paraId="6B1F4AF2" w14:textId="77777777" w:rsidR="006F55D8" w:rsidRDefault="006F55D8" w:rsidP="006F55D8">
                      <w:pPr>
                        <w:jc w:val="center"/>
                        <w:rPr>
                          <w:rFonts w:ascii="Harlow Solid Italic" w:hAnsi="Harlow Solid Italic"/>
                          <w:color w:val="FF0000"/>
                          <w:sz w:val="44"/>
                          <w:szCs w:val="44"/>
                        </w:rPr>
                      </w:pPr>
                      <w:r w:rsidRPr="007346FD">
                        <w:rPr>
                          <w:rFonts w:ascii="Harlow Solid Italic" w:hAnsi="Harlow Solid Italic"/>
                          <w:color w:val="FF0000"/>
                          <w:sz w:val="44"/>
                          <w:szCs w:val="44"/>
                        </w:rPr>
                        <w:t xml:space="preserve">Learner-Centered </w:t>
                      </w:r>
                    </w:p>
                    <w:p w14:paraId="2A8B06DF" w14:textId="77777777" w:rsidR="006F55D8" w:rsidRDefault="006F55D8" w:rsidP="006F55D8">
                      <w:pPr>
                        <w:jc w:val="center"/>
                      </w:pPr>
                      <w:r w:rsidRPr="007346FD">
                        <w:rPr>
                          <w:rFonts w:ascii="Harlow Solid Italic" w:hAnsi="Harlow Solid Italic"/>
                          <w:color w:val="FF0000"/>
                          <w:sz w:val="44"/>
                          <w:szCs w:val="44"/>
                        </w:rPr>
                        <w:t>Teaching for Success</w:t>
                      </w:r>
                    </w:p>
                  </w:txbxContent>
                </v:textbox>
              </v:shape>
            </w:pict>
          </mc:Fallback>
        </mc:AlternateContent>
      </w:r>
      <w:r>
        <w:rPr>
          <w:noProof/>
        </w:rPr>
        <w:drawing>
          <wp:inline distT="0" distB="0" distL="0" distR="0" wp14:anchorId="153EF989" wp14:editId="2BF7A695">
            <wp:extent cx="2608028" cy="1468966"/>
            <wp:effectExtent l="0" t="0" r="1905" b="0"/>
            <wp:docPr id="1" name="Picture 1" descr="MAALL meet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ingLogo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4343" cy="1568275"/>
                    </a:xfrm>
                    <a:prstGeom prst="rect">
                      <a:avLst/>
                    </a:prstGeom>
                  </pic:spPr>
                </pic:pic>
              </a:graphicData>
            </a:graphic>
          </wp:inline>
        </w:drawing>
      </w:r>
    </w:p>
    <w:p w14:paraId="45487B94" w14:textId="03C7965E" w:rsidR="00FB2561" w:rsidRPr="00EA0878" w:rsidRDefault="00FB2561" w:rsidP="00FB2561">
      <w:pPr>
        <w:rPr>
          <w:sz w:val="24"/>
          <w:szCs w:val="24"/>
        </w:rPr>
      </w:pPr>
      <w:r w:rsidRPr="00EA0878">
        <w:rPr>
          <w:sz w:val="24"/>
          <w:szCs w:val="24"/>
        </w:rPr>
        <w:t>This program is designed to help teachers in all contexts provide the kind of instruction that engages students in active learning. We will discuss some of the literature on adult learning, methods of teaching, and how to focus on helping students go from information consumers to active learners.</w:t>
      </w:r>
    </w:p>
    <w:p w14:paraId="3AC7232E" w14:textId="1315C58D" w:rsidR="00DE6F58" w:rsidRDefault="00DE6F58" w:rsidP="00DE6F58">
      <w:pPr>
        <w:pStyle w:val="Heading2"/>
      </w:pPr>
      <w:r>
        <w:t>Introduction</w:t>
      </w:r>
    </w:p>
    <w:p w14:paraId="4AB33F89" w14:textId="45913F2E" w:rsidR="00EA0878" w:rsidRDefault="007B483E" w:rsidP="00EA0878">
      <w:pPr>
        <w:keepNext/>
        <w:spacing w:after="0"/>
      </w:pPr>
      <w:r>
        <w:rPr>
          <w:noProof/>
        </w:rPr>
        <w:drawing>
          <wp:inline distT="0" distB="0" distL="0" distR="0" wp14:anchorId="17ED0ABD" wp14:editId="14EF46E3">
            <wp:extent cx="2752725" cy="2981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essorPodium(2).JPG"/>
                    <pic:cNvPicPr/>
                  </pic:nvPicPr>
                  <pic:blipFill>
                    <a:blip r:embed="rId6">
                      <a:extLst>
                        <a:ext uri="{28A0092B-C50C-407E-A947-70E740481C1C}">
                          <a14:useLocalDpi xmlns:a14="http://schemas.microsoft.com/office/drawing/2010/main" val="0"/>
                        </a:ext>
                      </a:extLst>
                    </a:blip>
                    <a:stretch>
                      <a:fillRect/>
                    </a:stretch>
                  </pic:blipFill>
                  <pic:spPr>
                    <a:xfrm>
                      <a:off x="0" y="0"/>
                      <a:ext cx="2752725" cy="2981325"/>
                    </a:xfrm>
                    <a:prstGeom prst="rect">
                      <a:avLst/>
                    </a:prstGeom>
                  </pic:spPr>
                </pic:pic>
              </a:graphicData>
            </a:graphic>
          </wp:inline>
        </w:drawing>
      </w:r>
      <w:r>
        <w:t xml:space="preserve">      </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70"/>
        <w:gridCol w:w="4500"/>
      </w:tblGrid>
      <w:tr w:rsidR="00EA0878" w14:paraId="39149F64" w14:textId="77777777" w:rsidTr="00EA0878">
        <w:tc>
          <w:tcPr>
            <w:tcW w:w="4315" w:type="dxa"/>
          </w:tcPr>
          <w:p w14:paraId="7C490CBC" w14:textId="77777777" w:rsidR="00EA0878" w:rsidRDefault="00EA0878" w:rsidP="00EA0878">
            <w:pPr>
              <w:keepNext/>
              <w:jc w:val="center"/>
            </w:pPr>
            <w:r>
              <w:t>Sage on the Stage</w:t>
            </w:r>
          </w:p>
          <w:p w14:paraId="57D135F2" w14:textId="046B980A" w:rsidR="00EA0878" w:rsidRPr="00EA0878" w:rsidRDefault="00EA0878" w:rsidP="00EA0878">
            <w:pPr>
              <w:keepNext/>
              <w:jc w:val="center"/>
              <w:rPr>
                <w:sz w:val="16"/>
                <w:szCs w:val="16"/>
              </w:rPr>
            </w:pPr>
            <w:r>
              <w:rPr>
                <w:sz w:val="16"/>
                <w:szCs w:val="16"/>
              </w:rPr>
              <w:t>(</w:t>
            </w:r>
            <w:r w:rsidRPr="00EA0878">
              <w:rPr>
                <w:sz w:val="16"/>
                <w:szCs w:val="16"/>
              </w:rPr>
              <w:t xml:space="preserve">"Professor Speaking on the Podium </w:t>
            </w:r>
            <w:proofErr w:type="spellStart"/>
            <w:r w:rsidRPr="00EA0878">
              <w:rPr>
                <w:sz w:val="16"/>
                <w:szCs w:val="16"/>
              </w:rPr>
              <w:t>Cartoon.svg</w:t>
            </w:r>
            <w:proofErr w:type="spellEnd"/>
            <w:r w:rsidRPr="00EA0878">
              <w:rPr>
                <w:sz w:val="16"/>
                <w:szCs w:val="16"/>
              </w:rPr>
              <w:t xml:space="preserve"> from Wikimedia Commons by Videoplasty.com, CC-BY-SA 4.0"</w:t>
            </w:r>
            <w:r>
              <w:rPr>
                <w:sz w:val="16"/>
                <w:szCs w:val="16"/>
              </w:rPr>
              <w:t>)</w:t>
            </w:r>
          </w:p>
        </w:tc>
        <w:tc>
          <w:tcPr>
            <w:tcW w:w="270" w:type="dxa"/>
          </w:tcPr>
          <w:p w14:paraId="3FAD2CF7" w14:textId="77777777" w:rsidR="00EA0878" w:rsidRDefault="00EA0878" w:rsidP="00EA0878">
            <w:pPr>
              <w:keepNext/>
            </w:pPr>
          </w:p>
        </w:tc>
        <w:tc>
          <w:tcPr>
            <w:tcW w:w="4500" w:type="dxa"/>
          </w:tcPr>
          <w:p w14:paraId="100F614E" w14:textId="7031A49F" w:rsidR="00EA0878" w:rsidRPr="00EA0878" w:rsidRDefault="00EA0878" w:rsidP="00EA0878">
            <w:pPr>
              <w:keepNext/>
              <w:jc w:val="center"/>
              <w:rPr>
                <w:sz w:val="16"/>
                <w:szCs w:val="16"/>
              </w:rPr>
            </w:pPr>
          </w:p>
        </w:tc>
      </w:tr>
    </w:tbl>
    <w:p w14:paraId="7A1BA9E0" w14:textId="777B27D0" w:rsidR="007B483E" w:rsidRDefault="007B483E" w:rsidP="00EA0878">
      <w:pPr>
        <w:keepNext/>
        <w:spacing w:after="0"/>
      </w:pPr>
      <w:r>
        <w:tab/>
      </w:r>
      <w:r>
        <w:tab/>
      </w:r>
      <w:r>
        <w:tab/>
      </w:r>
      <w:r>
        <w:tab/>
      </w:r>
    </w:p>
    <w:p w14:paraId="6998A83C" w14:textId="7179AB93" w:rsidR="006B127D" w:rsidRPr="00EA0878" w:rsidRDefault="00EA0878" w:rsidP="006B127D">
      <w:pPr>
        <w:spacing w:after="0"/>
        <w:ind w:left="360" w:hanging="360"/>
        <w:rPr>
          <w:sz w:val="24"/>
          <w:szCs w:val="24"/>
        </w:rPr>
      </w:pPr>
      <w:r w:rsidRPr="00EA0878">
        <w:rPr>
          <w:sz w:val="24"/>
          <w:szCs w:val="24"/>
        </w:rPr>
        <w:t>A common phrase from summer associates:</w:t>
      </w:r>
      <w:r w:rsidR="006B127D" w:rsidRPr="00EA0878">
        <w:rPr>
          <w:sz w:val="24"/>
          <w:szCs w:val="24"/>
        </w:rPr>
        <w:t xml:space="preserve"> </w:t>
      </w:r>
      <w:r w:rsidR="00C82F35" w:rsidRPr="00EA0878">
        <w:rPr>
          <w:sz w:val="24"/>
          <w:szCs w:val="24"/>
        </w:rPr>
        <w:t>“</w:t>
      </w:r>
      <w:r w:rsidR="006B127D" w:rsidRPr="00EA0878">
        <w:rPr>
          <w:sz w:val="24"/>
          <w:szCs w:val="24"/>
        </w:rPr>
        <w:t>no one covered that in our legal research class</w:t>
      </w:r>
      <w:r w:rsidR="00C82F35" w:rsidRPr="00EA0878">
        <w:rPr>
          <w:sz w:val="24"/>
          <w:szCs w:val="24"/>
        </w:rPr>
        <w:t>”</w:t>
      </w:r>
      <w:r w:rsidR="006B127D" w:rsidRPr="00EA0878">
        <w:rPr>
          <w:sz w:val="24"/>
          <w:szCs w:val="24"/>
        </w:rPr>
        <w:t xml:space="preserve"> and yet we had</w:t>
      </w:r>
      <w:r w:rsidRPr="00EA0878">
        <w:rPr>
          <w:sz w:val="24"/>
          <w:szCs w:val="24"/>
        </w:rPr>
        <w:t xml:space="preserve"> covered that</w:t>
      </w:r>
      <w:r w:rsidR="006B127D" w:rsidRPr="00EA0878">
        <w:rPr>
          <w:sz w:val="24"/>
          <w:szCs w:val="24"/>
        </w:rPr>
        <w:t xml:space="preserve">, so </w:t>
      </w:r>
      <w:r w:rsidR="00E76972">
        <w:rPr>
          <w:sz w:val="24"/>
          <w:szCs w:val="24"/>
        </w:rPr>
        <w:t>was this about teaching or learning</w:t>
      </w:r>
      <w:r w:rsidR="006B127D" w:rsidRPr="00EA0878">
        <w:rPr>
          <w:sz w:val="24"/>
          <w:szCs w:val="24"/>
        </w:rPr>
        <w:t>?</w:t>
      </w:r>
    </w:p>
    <w:p w14:paraId="4F4CFC67" w14:textId="7C2DA471" w:rsidR="006B127D" w:rsidRPr="00EA0878" w:rsidRDefault="006B127D" w:rsidP="006B127D">
      <w:pPr>
        <w:spacing w:after="0"/>
        <w:ind w:left="360" w:hanging="360"/>
        <w:rPr>
          <w:sz w:val="24"/>
          <w:szCs w:val="24"/>
        </w:rPr>
      </w:pPr>
      <w:r w:rsidRPr="00EA0878">
        <w:rPr>
          <w:sz w:val="24"/>
          <w:szCs w:val="24"/>
        </w:rPr>
        <w:t xml:space="preserve">When questions came to the Ref Desk, </w:t>
      </w:r>
      <w:r w:rsidR="00E76972">
        <w:rPr>
          <w:sz w:val="24"/>
          <w:szCs w:val="24"/>
        </w:rPr>
        <w:t xml:space="preserve">we </w:t>
      </w:r>
      <w:r w:rsidR="00C82F35" w:rsidRPr="00EA0878">
        <w:rPr>
          <w:sz w:val="24"/>
          <w:szCs w:val="24"/>
        </w:rPr>
        <w:t>ask “</w:t>
      </w:r>
      <w:r w:rsidRPr="00EA0878">
        <w:rPr>
          <w:sz w:val="24"/>
          <w:szCs w:val="24"/>
        </w:rPr>
        <w:t>what have you done?</w:t>
      </w:r>
      <w:r w:rsidR="00C82F35" w:rsidRPr="00EA0878">
        <w:rPr>
          <w:sz w:val="24"/>
          <w:szCs w:val="24"/>
        </w:rPr>
        <w:t>”</w:t>
      </w:r>
      <w:r w:rsidRPr="00EA0878">
        <w:rPr>
          <w:sz w:val="24"/>
          <w:szCs w:val="24"/>
        </w:rPr>
        <w:t xml:space="preserve"> Mostly – </w:t>
      </w:r>
      <w:proofErr w:type="spellStart"/>
      <w:r w:rsidRPr="00EA0878">
        <w:rPr>
          <w:sz w:val="24"/>
          <w:szCs w:val="24"/>
        </w:rPr>
        <w:t>Wexis</w:t>
      </w:r>
      <w:proofErr w:type="spellEnd"/>
      <w:r w:rsidRPr="00EA0878">
        <w:rPr>
          <w:sz w:val="24"/>
          <w:szCs w:val="24"/>
        </w:rPr>
        <w:t xml:space="preserve"> and “I must be doing something wrong because I’m not getting the results I want.”</w:t>
      </w:r>
    </w:p>
    <w:p w14:paraId="261AD04A" w14:textId="75965822" w:rsidR="006B127D" w:rsidRDefault="00B64403" w:rsidP="006B127D">
      <w:pPr>
        <w:spacing w:after="0"/>
        <w:ind w:left="360" w:hanging="360"/>
        <w:rPr>
          <w:sz w:val="24"/>
          <w:szCs w:val="24"/>
        </w:rPr>
      </w:pPr>
      <w:r w:rsidRPr="00EA0878">
        <w:rPr>
          <w:sz w:val="24"/>
          <w:szCs w:val="24"/>
        </w:rPr>
        <w:t xml:space="preserve">How do I do a better job of teaching students to learn? </w:t>
      </w:r>
    </w:p>
    <w:p w14:paraId="23BFF7D4" w14:textId="6865B469" w:rsidR="00E76972" w:rsidRPr="00EA0878" w:rsidRDefault="00E76972" w:rsidP="006B127D">
      <w:pPr>
        <w:spacing w:after="0"/>
        <w:ind w:left="360" w:hanging="360"/>
        <w:rPr>
          <w:sz w:val="24"/>
          <w:szCs w:val="24"/>
        </w:rPr>
      </w:pPr>
      <w:r>
        <w:rPr>
          <w:sz w:val="24"/>
          <w:szCs w:val="24"/>
        </w:rPr>
        <w:t>Learner-Centered Teaching!</w:t>
      </w:r>
    </w:p>
    <w:p w14:paraId="3AAA2712" w14:textId="77777777" w:rsidR="00D3203D" w:rsidRPr="006B127D" w:rsidRDefault="00D3203D" w:rsidP="006B127D">
      <w:pPr>
        <w:spacing w:after="0"/>
        <w:ind w:left="360" w:hanging="360"/>
      </w:pPr>
    </w:p>
    <w:p w14:paraId="2EA485D3" w14:textId="1D83684D" w:rsidR="00DE6F58" w:rsidRDefault="004C0060" w:rsidP="00DE6F58">
      <w:pPr>
        <w:pStyle w:val="Heading2"/>
      </w:pPr>
      <w:r>
        <w:t>Characteristics of Learner-Centered Teaching</w:t>
      </w:r>
      <w:bookmarkStart w:id="0" w:name="_GoBack"/>
      <w:bookmarkEnd w:id="0"/>
    </w:p>
    <w:p w14:paraId="4A576BA8" w14:textId="68B5AFB3" w:rsidR="00E76972" w:rsidRDefault="00E76972" w:rsidP="00B64403">
      <w:pPr>
        <w:spacing w:after="0"/>
        <w:ind w:left="360" w:hanging="360"/>
      </w:pPr>
      <w:r>
        <w:t>S</w:t>
      </w:r>
      <w:r w:rsidR="00B64403">
        <w:t>tudent learning</w:t>
      </w:r>
      <w:r>
        <w:t xml:space="preserve"> comes</w:t>
      </w:r>
      <w:r w:rsidR="00B64403">
        <w:t xml:space="preserve"> first </w:t>
      </w:r>
      <w:r>
        <w:t>– set learning objectives</w:t>
      </w:r>
    </w:p>
    <w:p w14:paraId="7C0BCC92" w14:textId="299BE147" w:rsidR="00B64403" w:rsidRDefault="00E76972" w:rsidP="00B64403">
      <w:pPr>
        <w:spacing w:after="0"/>
        <w:ind w:left="360" w:hanging="360"/>
      </w:pPr>
      <w:r>
        <w:lastRenderedPageBreak/>
        <w:t>B</w:t>
      </w:r>
      <w:r w:rsidR="00B64403">
        <w:t xml:space="preserve">uild the teaching around </w:t>
      </w:r>
      <w:r>
        <w:t xml:space="preserve">the </w:t>
      </w:r>
      <w:r w:rsidR="00B64403">
        <w:t>learning objectives.</w:t>
      </w:r>
    </w:p>
    <w:p w14:paraId="330EE73A" w14:textId="481ECE52" w:rsidR="00B64403" w:rsidRDefault="00E76972" w:rsidP="00B64403">
      <w:pPr>
        <w:spacing w:after="0"/>
        <w:ind w:left="360" w:hanging="360"/>
      </w:pPr>
      <w:r>
        <w:t>E</w:t>
      </w:r>
      <w:r w:rsidR="00B64403">
        <w:t>xamine each knowledge and experience component in terms of how best students will retain the knowledge and be able to transfer it to another project.</w:t>
      </w:r>
    </w:p>
    <w:p w14:paraId="66939A18" w14:textId="79E06489" w:rsidR="00FB2561" w:rsidRDefault="00FB2561" w:rsidP="00B64403">
      <w:pPr>
        <w:spacing w:after="0"/>
        <w:ind w:left="360" w:hanging="360"/>
      </w:pPr>
      <w:r>
        <w:t>Adult learning</w:t>
      </w:r>
      <w:r w:rsidR="00E76972">
        <w:t>:</w:t>
      </w:r>
      <w:r>
        <w:t xml:space="preserve"> visual, auditory, hands-on, “see one, do one, teach one” </w:t>
      </w:r>
    </w:p>
    <w:p w14:paraId="10C9A220" w14:textId="19FCCD4C" w:rsidR="00E76972" w:rsidRDefault="00E76972" w:rsidP="00B64403">
      <w:pPr>
        <w:spacing w:after="0"/>
        <w:ind w:left="360" w:hanging="360"/>
      </w:pPr>
      <w:r>
        <w:t>W</w:t>
      </w:r>
      <w:r w:rsidR="00B64403">
        <w:t>hat to cover and how to cover it</w:t>
      </w:r>
    </w:p>
    <w:p w14:paraId="5F61CFDE" w14:textId="1A187D5A" w:rsidR="00B64403" w:rsidRDefault="00E76972" w:rsidP="00B64403">
      <w:pPr>
        <w:spacing w:after="0"/>
        <w:ind w:left="360" w:hanging="360"/>
      </w:pPr>
      <w:r>
        <w:t>V</w:t>
      </w:r>
      <w:r w:rsidR="00B64403">
        <w:t xml:space="preserve">iew </w:t>
      </w:r>
      <w:r w:rsidR="00B27E83">
        <w:t>the teaching</w:t>
      </w:r>
      <w:r w:rsidR="00B64403">
        <w:t xml:space="preserve"> from </w:t>
      </w:r>
      <w:r w:rsidR="00B27E83">
        <w:t xml:space="preserve">how </w:t>
      </w:r>
      <w:r w:rsidR="00B64403">
        <w:t>the learner</w:t>
      </w:r>
      <w:r w:rsidR="00B27E83">
        <w:t xml:space="preserve"> will learn</w:t>
      </w:r>
    </w:p>
    <w:p w14:paraId="6A72FBFE" w14:textId="77777777" w:rsidR="00B64403" w:rsidRPr="00B64403" w:rsidRDefault="00B64403" w:rsidP="00D3203D">
      <w:pPr>
        <w:spacing w:after="0"/>
      </w:pPr>
    </w:p>
    <w:p w14:paraId="079AEA0B" w14:textId="74351682" w:rsidR="00DE6F58" w:rsidRDefault="00DE6F58" w:rsidP="00DE6F58">
      <w:pPr>
        <w:pStyle w:val="Heading2"/>
      </w:pPr>
      <w:r>
        <w:t>What I’ve learned</w:t>
      </w:r>
    </w:p>
    <w:p w14:paraId="33AD5CCF" w14:textId="3A25CAA1" w:rsidR="00CA2754" w:rsidRDefault="00E76972" w:rsidP="00CA2754">
      <w:pPr>
        <w:spacing w:after="0"/>
      </w:pPr>
      <w:r>
        <w:t>T</w:t>
      </w:r>
      <w:r w:rsidR="00D7519A">
        <w:t>he simpler the better</w:t>
      </w:r>
      <w:r w:rsidR="003371C5">
        <w:t>.</w:t>
      </w:r>
    </w:p>
    <w:p w14:paraId="459F0532" w14:textId="3AB24B59" w:rsidR="003371C5" w:rsidRDefault="003371C5" w:rsidP="00CA2754">
      <w:pPr>
        <w:spacing w:after="0"/>
      </w:pPr>
      <w:r>
        <w:t>What do we want student researchers to know?</w:t>
      </w:r>
    </w:p>
    <w:p w14:paraId="12BBC726" w14:textId="32BAAF11" w:rsidR="003371C5" w:rsidRDefault="003371C5" w:rsidP="00CA2754">
      <w:pPr>
        <w:spacing w:after="0"/>
      </w:pPr>
      <w:r>
        <w:t xml:space="preserve">How do we convey that message? </w:t>
      </w:r>
    </w:p>
    <w:p w14:paraId="3EDADF77" w14:textId="2F4A9191" w:rsidR="003371C5" w:rsidRDefault="00DD5282" w:rsidP="00C87A25">
      <w:pPr>
        <w:pStyle w:val="ListParagraph"/>
        <w:numPr>
          <w:ilvl w:val="0"/>
          <w:numId w:val="1"/>
        </w:numPr>
        <w:spacing w:after="0"/>
      </w:pPr>
      <w:r>
        <w:t>Use realistic scenarios</w:t>
      </w:r>
    </w:p>
    <w:p w14:paraId="5ABF3081" w14:textId="3FC5FB83" w:rsidR="00DD5282" w:rsidRDefault="00DD5282" w:rsidP="00C87A25">
      <w:pPr>
        <w:pStyle w:val="ListParagraph"/>
        <w:numPr>
          <w:ilvl w:val="0"/>
          <w:numId w:val="1"/>
        </w:numPr>
        <w:spacing w:after="0"/>
      </w:pPr>
      <w:r>
        <w:t>Have specific learning objectives for each class session</w:t>
      </w:r>
    </w:p>
    <w:p w14:paraId="294EB5AB" w14:textId="2D330584" w:rsidR="00DD5282" w:rsidRDefault="00DD5282" w:rsidP="00C87A25">
      <w:pPr>
        <w:pStyle w:val="ListParagraph"/>
        <w:numPr>
          <w:ilvl w:val="0"/>
          <w:numId w:val="1"/>
        </w:numPr>
        <w:spacing w:after="0"/>
      </w:pPr>
      <w:r>
        <w:t xml:space="preserve">Create exercises </w:t>
      </w:r>
      <w:r w:rsidR="00E76972">
        <w:t>to</w:t>
      </w:r>
      <w:r>
        <w:t xml:space="preserve"> further the objectives</w:t>
      </w:r>
    </w:p>
    <w:p w14:paraId="4767DAD8" w14:textId="37C79338" w:rsidR="00DD5282" w:rsidRDefault="00E76972" w:rsidP="00C87A25">
      <w:pPr>
        <w:pStyle w:val="ListParagraph"/>
        <w:numPr>
          <w:ilvl w:val="0"/>
          <w:numId w:val="1"/>
        </w:numPr>
        <w:spacing w:after="0"/>
      </w:pPr>
      <w:r>
        <w:t>Retrieves some results but none directly on point</w:t>
      </w:r>
    </w:p>
    <w:p w14:paraId="6F92C63B" w14:textId="51796869" w:rsidR="00C87A25" w:rsidRDefault="00C87A25" w:rsidP="00C87A25">
      <w:pPr>
        <w:pStyle w:val="ListParagraph"/>
        <w:numPr>
          <w:ilvl w:val="0"/>
          <w:numId w:val="1"/>
        </w:numPr>
        <w:spacing w:after="0"/>
      </w:pPr>
      <w:r>
        <w:t>Work in class</w:t>
      </w:r>
      <w:r w:rsidR="00E76972">
        <w:t>;</w:t>
      </w:r>
      <w:r>
        <w:t xml:space="preserve"> follow up with an outside-of-class exercise</w:t>
      </w:r>
      <w:r w:rsidR="00E76972">
        <w:t>s = spaced practice</w:t>
      </w:r>
    </w:p>
    <w:p w14:paraId="4959380B" w14:textId="7F590F91" w:rsidR="00C87A25" w:rsidRDefault="00C82F35" w:rsidP="00C87A25">
      <w:pPr>
        <w:pStyle w:val="ListParagraph"/>
        <w:numPr>
          <w:ilvl w:val="0"/>
          <w:numId w:val="1"/>
        </w:numPr>
        <w:spacing w:after="0"/>
      </w:pPr>
      <w:r>
        <w:t>Make learning cumulative</w:t>
      </w:r>
      <w:r w:rsidR="001627D2">
        <w:t xml:space="preserve"> –</w:t>
      </w:r>
      <w:r>
        <w:t xml:space="preserve"> </w:t>
      </w:r>
      <w:r w:rsidR="001627D2">
        <w:t xml:space="preserve">interleave learned skills into </w:t>
      </w:r>
      <w:r w:rsidR="00C87A25">
        <w:t>exercises</w:t>
      </w:r>
      <w:r w:rsidR="001627D2">
        <w:t xml:space="preserve"> later in time</w:t>
      </w:r>
    </w:p>
    <w:p w14:paraId="4C12E6DA" w14:textId="65B9B5C0" w:rsidR="00DD5282" w:rsidRDefault="00DD5282" w:rsidP="00CA2754">
      <w:pPr>
        <w:spacing w:after="0"/>
      </w:pPr>
    </w:p>
    <w:p w14:paraId="79325778" w14:textId="223938B8" w:rsidR="00EF035D" w:rsidRDefault="00EF035D" w:rsidP="00EF035D">
      <w:pPr>
        <w:pStyle w:val="Heading2"/>
      </w:pPr>
      <w:r>
        <w:t xml:space="preserve">What </w:t>
      </w:r>
      <w:r>
        <w:t>do you have to share?</w:t>
      </w:r>
    </w:p>
    <w:p w14:paraId="0841A31E" w14:textId="77777777" w:rsidR="00EF035D" w:rsidRPr="00EF035D" w:rsidRDefault="00EF035D" w:rsidP="00EF035D"/>
    <w:p w14:paraId="591B792F" w14:textId="548CB627" w:rsidR="00EF035D" w:rsidRDefault="00EF035D" w:rsidP="00EF035D">
      <w:pPr>
        <w:pStyle w:val="Heading2"/>
      </w:pPr>
      <w:r>
        <w:t>Takeaways</w:t>
      </w:r>
    </w:p>
    <w:p w14:paraId="207E6FCD" w14:textId="77777777" w:rsidR="00EF035D" w:rsidRPr="00CA2754" w:rsidRDefault="00EF035D" w:rsidP="00CA2754">
      <w:pPr>
        <w:spacing w:after="0"/>
      </w:pPr>
    </w:p>
    <w:sectPr w:rsidR="00EF035D" w:rsidRPr="00CA2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16325"/>
    <w:multiLevelType w:val="hybridMultilevel"/>
    <w:tmpl w:val="94B2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58"/>
    <w:rsid w:val="001627D2"/>
    <w:rsid w:val="0032454C"/>
    <w:rsid w:val="003371C5"/>
    <w:rsid w:val="00383C72"/>
    <w:rsid w:val="003D6F9B"/>
    <w:rsid w:val="003F0D89"/>
    <w:rsid w:val="004C0060"/>
    <w:rsid w:val="00550E9A"/>
    <w:rsid w:val="006B127D"/>
    <w:rsid w:val="006F18B6"/>
    <w:rsid w:val="006F55D8"/>
    <w:rsid w:val="00731D98"/>
    <w:rsid w:val="007B483E"/>
    <w:rsid w:val="008053AB"/>
    <w:rsid w:val="00B27E83"/>
    <w:rsid w:val="00B64403"/>
    <w:rsid w:val="00C60B27"/>
    <w:rsid w:val="00C82F35"/>
    <w:rsid w:val="00C87A25"/>
    <w:rsid w:val="00CA2754"/>
    <w:rsid w:val="00D3203D"/>
    <w:rsid w:val="00D7519A"/>
    <w:rsid w:val="00DD5282"/>
    <w:rsid w:val="00DD7C2B"/>
    <w:rsid w:val="00DE6F58"/>
    <w:rsid w:val="00E76972"/>
    <w:rsid w:val="00EA0878"/>
    <w:rsid w:val="00EF035D"/>
    <w:rsid w:val="00F3255E"/>
    <w:rsid w:val="00FB2561"/>
    <w:rsid w:val="00FF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FC4B"/>
  <w15:chartTrackingRefBased/>
  <w15:docId w15:val="{F1982DD9-41E5-4C1A-9AB1-7C6D28A5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F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F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F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6F5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7A25"/>
    <w:pPr>
      <w:ind w:left="720"/>
      <w:contextualSpacing/>
    </w:pPr>
  </w:style>
  <w:style w:type="paragraph" w:styleId="Caption">
    <w:name w:val="caption"/>
    <w:basedOn w:val="Normal"/>
    <w:next w:val="Normal"/>
    <w:uiPriority w:val="35"/>
    <w:unhideWhenUsed/>
    <w:qFormat/>
    <w:rsid w:val="007B483E"/>
    <w:pPr>
      <w:spacing w:after="200" w:line="240" w:lineRule="auto"/>
    </w:pPr>
    <w:rPr>
      <w:i/>
      <w:iCs/>
      <w:color w:val="44546A" w:themeColor="text2"/>
      <w:sz w:val="18"/>
      <w:szCs w:val="18"/>
    </w:rPr>
  </w:style>
  <w:style w:type="table" w:styleId="TableGrid">
    <w:name w:val="Table Grid"/>
    <w:basedOn w:val="TableNormal"/>
    <w:uiPriority w:val="39"/>
    <w:rsid w:val="00EA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7843">
      <w:bodyDiv w:val="1"/>
      <w:marLeft w:val="0"/>
      <w:marRight w:val="0"/>
      <w:marTop w:val="0"/>
      <w:marBottom w:val="0"/>
      <w:divBdr>
        <w:top w:val="none" w:sz="0" w:space="0" w:color="auto"/>
        <w:left w:val="none" w:sz="0" w:space="0" w:color="auto"/>
        <w:bottom w:val="none" w:sz="0" w:space="0" w:color="auto"/>
        <w:right w:val="none" w:sz="0" w:space="0" w:color="auto"/>
      </w:divBdr>
    </w:div>
    <w:div w:id="6600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Theodore A</dc:creator>
  <cp:keywords/>
  <dc:description/>
  <cp:lastModifiedBy>Potter, Theodore A</cp:lastModifiedBy>
  <cp:revision>6</cp:revision>
  <dcterms:created xsi:type="dcterms:W3CDTF">2019-10-08T14:43:00Z</dcterms:created>
  <dcterms:modified xsi:type="dcterms:W3CDTF">2019-10-08T21:59:00Z</dcterms:modified>
</cp:coreProperties>
</file>